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C6" w:rsidRP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b/>
          <w:color w:val="1A1718"/>
          <w:sz w:val="28"/>
          <w:szCs w:val="28"/>
          <w:lang w:val="en-US"/>
        </w:rPr>
      </w:pPr>
      <w:bookmarkStart w:id="0" w:name="_GoBack"/>
      <w:r w:rsidRPr="007348C6">
        <w:rPr>
          <w:rFonts w:ascii="Helvetica Neue" w:hAnsi="Helvetica Neue" w:cs="Helvetica Neue"/>
          <w:b/>
          <w:color w:val="1A1718"/>
          <w:sz w:val="28"/>
          <w:szCs w:val="28"/>
          <w:lang w:val="en-US"/>
        </w:rPr>
        <w:t>ARTHUR D LITTLE – STRATEGIC CONDITION MARKETING MATRIX</w:t>
      </w:r>
    </w:p>
    <w:bookmarkEnd w:id="0"/>
    <w:p w:rsid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color w:val="1A1718"/>
          <w:lang w:val="en-US"/>
        </w:rPr>
      </w:pPr>
    </w:p>
    <w:p w:rsid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 xml:space="preserve">Although now slightly dated at first glance, The Arthur D Little (ADL) Strategic Condition Matrix offers a different perspective on strategy formulation. ADL has two main dimensions - </w:t>
      </w:r>
      <w:r>
        <w:rPr>
          <w:rFonts w:ascii="Helvetica Neue" w:hAnsi="Helvetica Neue" w:cs="Helvetica Neue"/>
          <w:i/>
          <w:iCs/>
          <w:color w:val="1A1718"/>
          <w:lang w:val="en-US"/>
        </w:rPr>
        <w:t>competitive position</w:t>
      </w:r>
      <w:r>
        <w:rPr>
          <w:rFonts w:ascii="Helvetica Neue" w:hAnsi="Helvetica Neue" w:cs="Helvetica Neue"/>
          <w:color w:val="1A1718"/>
          <w:lang w:val="en-US"/>
        </w:rPr>
        <w:t xml:space="preserve"> and </w:t>
      </w:r>
      <w:r>
        <w:rPr>
          <w:rFonts w:ascii="Helvetica Neue" w:hAnsi="Helvetica Neue" w:cs="Helvetica Neue"/>
          <w:i/>
          <w:iCs/>
          <w:color w:val="1A1718"/>
          <w:lang w:val="en-US"/>
        </w:rPr>
        <w:t>industry maturity</w:t>
      </w:r>
      <w:r>
        <w:rPr>
          <w:rFonts w:ascii="Helvetica Neue" w:hAnsi="Helvetica Neue" w:cs="Helvetica Neue"/>
          <w:color w:val="1A1718"/>
          <w:lang w:val="en-US"/>
        </w:rPr>
        <w:t>.</w:t>
      </w:r>
    </w:p>
    <w:p w:rsid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color w:val="1A1718"/>
          <w:lang w:val="en-US"/>
        </w:rPr>
      </w:pPr>
      <w:proofErr w:type="gramStart"/>
      <w:r>
        <w:rPr>
          <w:rFonts w:ascii="Helvetica Neue" w:hAnsi="Helvetica Neue" w:cs="Helvetica Neue"/>
          <w:i/>
          <w:iCs/>
          <w:color w:val="1A1718"/>
          <w:lang w:val="en-US"/>
        </w:rPr>
        <w:t>Competitive position</w:t>
      </w:r>
      <w:r>
        <w:rPr>
          <w:rFonts w:ascii="Helvetica Neue" w:hAnsi="Helvetica Neue" w:cs="Helvetica Neue"/>
          <w:color w:val="1A1718"/>
          <w:lang w:val="en-US"/>
        </w:rPr>
        <w:t xml:space="preserve"> is driven by the sectors or segments in which a Strategic Business Unit (SBU) operates</w:t>
      </w:r>
      <w:proofErr w:type="gramEnd"/>
      <w:r>
        <w:rPr>
          <w:rFonts w:ascii="Helvetica Neue" w:hAnsi="Helvetica Neue" w:cs="Helvetica Neue"/>
          <w:color w:val="1A1718"/>
          <w:lang w:val="en-US"/>
        </w:rPr>
        <w:t xml:space="preserve">. The product or </w:t>
      </w:r>
      <w:proofErr w:type="gramStart"/>
      <w:r>
        <w:rPr>
          <w:rFonts w:ascii="Helvetica Neue" w:hAnsi="Helvetica Neue" w:cs="Helvetica Neue"/>
          <w:color w:val="1A1718"/>
          <w:lang w:val="en-US"/>
        </w:rPr>
        <w:t>service which it markets, and the accesses it has to a range of geographically dispersed markets that are what makes up an organization's competitive</w:t>
      </w:r>
      <w:proofErr w:type="gramEnd"/>
      <w:r>
        <w:rPr>
          <w:rFonts w:ascii="Helvetica Neue" w:hAnsi="Helvetica Neue" w:cs="Helvetica Neue"/>
          <w:color w:val="1A1718"/>
          <w:lang w:val="en-US"/>
        </w:rPr>
        <w:t xml:space="preserve"> position i.e. product and place.</w:t>
      </w:r>
    </w:p>
    <w:p w:rsid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i/>
          <w:iCs/>
          <w:color w:val="1A1718"/>
          <w:lang w:val="en-US"/>
        </w:rPr>
        <w:t>Industry maturity</w:t>
      </w:r>
      <w:r>
        <w:rPr>
          <w:rFonts w:ascii="Helvetica Neue" w:hAnsi="Helvetica Neue" w:cs="Helvetica Neue"/>
          <w:color w:val="1A1718"/>
          <w:lang w:val="en-US"/>
        </w:rPr>
        <w:t xml:space="preserve"> is very similar to the Product Life Cycle (PLC) and could almost be renamed an 'industry life cycle.' Of course not only industries could be considered here but also segments</w:t>
      </w:r>
    </w:p>
    <w:p w:rsidR="007348C6" w:rsidRDefault="007348C6" w:rsidP="007348C6">
      <w:pPr>
        <w:widowControl w:val="0"/>
        <w:autoSpaceDE w:val="0"/>
        <w:autoSpaceDN w:val="0"/>
        <w:adjustRightInd w:val="0"/>
        <w:spacing w:line="380" w:lineRule="atLeast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noProof/>
          <w:color w:val="1A1718"/>
          <w:lang w:val="en-US"/>
        </w:rPr>
        <w:drawing>
          <wp:inline distT="0" distB="0" distL="0" distR="0">
            <wp:extent cx="4876800" cy="3949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 xml:space="preserve">It is a combination of the two aforementioned dimensions that helps us to use </w:t>
      </w:r>
      <w:r>
        <w:rPr>
          <w:rFonts w:ascii="Helvetica Neue" w:hAnsi="Helvetica Neue" w:cs="Helvetica Neue"/>
          <w:color w:val="1A1718"/>
          <w:lang w:val="en-US"/>
        </w:rPr>
        <w:lastRenderedPageBreak/>
        <w:t>ADL for marketing decision-making. Now let's consider options in more detail. Competitive position has five main categories:</w:t>
      </w:r>
    </w:p>
    <w:p w:rsidR="007348C6" w:rsidRDefault="007348C6" w:rsidP="00734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1. Dominant - This is a particularly extraordinary position. Often this is associate with some form of monopoly position or customer lock-in e.g. Microsoft Windows being the dominant global operating system.</w:t>
      </w:r>
    </w:p>
    <w:p w:rsidR="007348C6" w:rsidRDefault="007348C6" w:rsidP="00734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2. Strong - Here companies have a lot of freedom since position in an industry is comparatively  powerful e.g. Apple's iPod products.</w:t>
      </w:r>
    </w:p>
    <w:p w:rsidR="007348C6" w:rsidRDefault="007348C6" w:rsidP="00734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 xml:space="preserve">3. </w:t>
      </w:r>
      <w:proofErr w:type="spellStart"/>
      <w:r>
        <w:rPr>
          <w:rFonts w:ascii="Helvetica Neue" w:hAnsi="Helvetica Neue" w:cs="Helvetica Neue"/>
          <w:color w:val="1A1718"/>
          <w:lang w:val="en-US"/>
        </w:rPr>
        <w:t>Favourable</w:t>
      </w:r>
      <w:proofErr w:type="spellEnd"/>
      <w:r>
        <w:rPr>
          <w:rFonts w:ascii="Helvetica Neue" w:hAnsi="Helvetica Neue" w:cs="Helvetica Neue"/>
          <w:color w:val="1A1718"/>
          <w:lang w:val="en-US"/>
        </w:rPr>
        <w:t xml:space="preserve"> - Companies with a </w:t>
      </w:r>
      <w:proofErr w:type="spellStart"/>
      <w:r>
        <w:rPr>
          <w:rFonts w:ascii="Helvetica Neue" w:hAnsi="Helvetica Neue" w:cs="Helvetica Neue"/>
          <w:color w:val="1A1718"/>
          <w:lang w:val="en-US"/>
        </w:rPr>
        <w:t>favourable</w:t>
      </w:r>
      <w:proofErr w:type="spellEnd"/>
      <w:r>
        <w:rPr>
          <w:rFonts w:ascii="Helvetica Neue" w:hAnsi="Helvetica Neue" w:cs="Helvetica Neue"/>
          <w:color w:val="1A1718"/>
          <w:lang w:val="en-US"/>
        </w:rPr>
        <w:t xml:space="preserve"> position tend to have competitive strengths in segments of a fragmented market place. No single global player controls all segments. Here product strengths and geographical advantages come into play.</w:t>
      </w:r>
    </w:p>
    <w:p w:rsidR="007348C6" w:rsidRDefault="007348C6" w:rsidP="00734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 xml:space="preserve">4. Tenable - Here companies may face erosion by stronger competitors that have a </w:t>
      </w:r>
      <w:proofErr w:type="spellStart"/>
      <w:r>
        <w:rPr>
          <w:rFonts w:ascii="Helvetica Neue" w:hAnsi="Helvetica Neue" w:cs="Helvetica Neue"/>
          <w:color w:val="1A1718"/>
          <w:lang w:val="en-US"/>
        </w:rPr>
        <w:t>favourable</w:t>
      </w:r>
      <w:proofErr w:type="spellEnd"/>
      <w:r>
        <w:rPr>
          <w:rFonts w:ascii="Helvetica Neue" w:hAnsi="Helvetica Neue" w:cs="Helvetica Neue"/>
          <w:color w:val="1A1718"/>
          <w:lang w:val="en-US"/>
        </w:rPr>
        <w:t>, strong or competitive position. It is difficult for them to compete since they do not have a sustainable competitive advantage.</w:t>
      </w:r>
    </w:p>
    <w:p w:rsidR="007348C6" w:rsidRDefault="007348C6" w:rsidP="00734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 xml:space="preserve">5. Weak - As the term suggests companies in this undesirable space are in an unenviable position. Of course there are opportunities to change and improve, and therefore to take an organization to a more </w:t>
      </w:r>
      <w:proofErr w:type="spellStart"/>
      <w:r>
        <w:rPr>
          <w:rFonts w:ascii="Helvetica Neue" w:hAnsi="Helvetica Neue" w:cs="Helvetica Neue"/>
          <w:color w:val="1A1718"/>
          <w:lang w:val="en-US"/>
        </w:rPr>
        <w:t>favourable</w:t>
      </w:r>
      <w:proofErr w:type="spellEnd"/>
      <w:r>
        <w:rPr>
          <w:rFonts w:ascii="Helvetica Neue" w:hAnsi="Helvetica Neue" w:cs="Helvetica Neue"/>
          <w:color w:val="1A1718"/>
          <w:lang w:val="en-US"/>
        </w:rPr>
        <w:t xml:space="preserve">, strong or even </w:t>
      </w:r>
      <w:proofErr w:type="gramStart"/>
      <w:r>
        <w:rPr>
          <w:rFonts w:ascii="Helvetica Neue" w:hAnsi="Helvetica Neue" w:cs="Helvetica Neue"/>
          <w:color w:val="1A1718"/>
          <w:lang w:val="en-US"/>
        </w:rPr>
        <w:t>dominant</w:t>
      </w:r>
      <w:proofErr w:type="gramEnd"/>
      <w:r>
        <w:rPr>
          <w:rFonts w:ascii="Helvetica Neue" w:hAnsi="Helvetica Neue" w:cs="Helvetica Neue"/>
          <w:color w:val="1A1718"/>
          <w:lang w:val="en-US"/>
        </w:rPr>
        <w:t xml:space="preserve"> position.</w:t>
      </w:r>
    </w:p>
    <w:p w:rsidR="007348C6" w:rsidRDefault="007348C6" w:rsidP="007348C6">
      <w:pPr>
        <w:widowControl w:val="0"/>
        <w:autoSpaceDE w:val="0"/>
        <w:autoSpaceDN w:val="0"/>
        <w:adjustRightInd w:val="0"/>
        <w:spacing w:after="240" w:line="380" w:lineRule="atLeast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 xml:space="preserve">From here the strategic position of an </w:t>
      </w:r>
      <w:proofErr w:type="spellStart"/>
      <w:r>
        <w:rPr>
          <w:rFonts w:ascii="Helvetica Neue" w:hAnsi="Helvetica Neue" w:cs="Helvetica Neue"/>
          <w:color w:val="1A1718"/>
          <w:lang w:val="en-US"/>
        </w:rPr>
        <w:t>organisation</w:t>
      </w:r>
      <w:proofErr w:type="spellEnd"/>
      <w:r>
        <w:rPr>
          <w:rFonts w:ascii="Helvetica Neue" w:hAnsi="Helvetica Neue" w:cs="Helvetica Neue"/>
          <w:color w:val="1A1718"/>
          <w:lang w:val="en-US"/>
        </w:rPr>
        <w:t xml:space="preserve"> can be established. Managers then need to decide upon the best strategic direction for the business. For example they might use a </w:t>
      </w:r>
      <w:hyperlink r:id="rId7" w:history="1">
        <w:r>
          <w:rPr>
            <w:rFonts w:ascii="Helvetica Neue" w:hAnsi="Helvetica Neue" w:cs="Helvetica Neue"/>
            <w:color w:val="0000F6"/>
            <w:u w:val="single" w:color="0000F6"/>
            <w:lang w:val="en-US"/>
          </w:rPr>
          <w:t>Gap Analysis</w:t>
        </w:r>
      </w:hyperlink>
      <w:r>
        <w:rPr>
          <w:rFonts w:ascii="Helvetica Neue" w:hAnsi="Helvetica Neue" w:cs="Helvetica Neue"/>
          <w:color w:val="1A1718"/>
          <w:lang w:val="en-US"/>
        </w:rPr>
        <w:t>. According to ADL, there are six generic categories of strategy that could be employed by individual SBU's:</w:t>
      </w:r>
    </w:p>
    <w:p w:rsidR="007348C6" w:rsidRDefault="007348C6" w:rsidP="007348C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Market strategies.</w:t>
      </w:r>
    </w:p>
    <w:p w:rsidR="007348C6" w:rsidRDefault="007348C6" w:rsidP="007348C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Product strategies.</w:t>
      </w:r>
    </w:p>
    <w:p w:rsidR="007348C6" w:rsidRDefault="007348C6" w:rsidP="007348C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Management and systems strategies.</w:t>
      </w:r>
    </w:p>
    <w:p w:rsidR="007348C6" w:rsidRDefault="007348C6" w:rsidP="007348C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Technology strategies.</w:t>
      </w:r>
    </w:p>
    <w:p w:rsidR="007348C6" w:rsidRDefault="007348C6" w:rsidP="007348C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Retrenchment strategies.</w:t>
      </w:r>
    </w:p>
    <w:p w:rsidR="007348C6" w:rsidRDefault="007348C6" w:rsidP="007348C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 w:line="380" w:lineRule="atLeast"/>
        <w:ind w:hanging="720"/>
        <w:rPr>
          <w:rFonts w:ascii="Helvetica Neue" w:hAnsi="Helvetica Neue" w:cs="Helvetica Neue"/>
          <w:color w:val="1A1718"/>
          <w:lang w:val="en-US"/>
        </w:rPr>
      </w:pPr>
      <w:r>
        <w:rPr>
          <w:rFonts w:ascii="Helvetica Neue" w:hAnsi="Helvetica Neue" w:cs="Helvetica Neue"/>
          <w:color w:val="1A1718"/>
          <w:lang w:val="en-US"/>
        </w:rPr>
        <w:tab/>
      </w:r>
      <w:r>
        <w:rPr>
          <w:rFonts w:ascii="Helvetica Neue" w:hAnsi="Helvetica Neue" w:cs="Helvetica Neue"/>
          <w:color w:val="1A1718"/>
          <w:lang w:val="en-US"/>
        </w:rPr>
        <w:tab/>
        <w:t>Operations strategies.</w:t>
      </w:r>
    </w:p>
    <w:p w:rsidR="007273D2" w:rsidRDefault="007273D2"/>
    <w:sectPr w:rsidR="007273D2" w:rsidSect="00E13B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C6"/>
    <w:rsid w:val="007273D2"/>
    <w:rsid w:val="0073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05CC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8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8C6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8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8C6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hyperlink" Target="http://www.marketingteacher.com/lesson-store/lesson-gap-analysis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388</Words>
  <Characters>2213</Characters>
  <Application>Microsoft Macintosh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karas</dc:creator>
  <cp:keywords/>
  <dc:description/>
  <cp:lastModifiedBy>emily karas</cp:lastModifiedBy>
  <cp:revision>1</cp:revision>
  <dcterms:created xsi:type="dcterms:W3CDTF">2011-03-09T23:38:00Z</dcterms:created>
  <dcterms:modified xsi:type="dcterms:W3CDTF">2011-03-09T23:39:00Z</dcterms:modified>
</cp:coreProperties>
</file>